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</w:tblPr>
      <w:tblGrid>
        <w:gridCol w:w="9792"/>
      </w:tblGrid>
      <w:tr>
        <w:tc>
          <w:tcPr>
            <w:tcW w:type="dxa" w:w="9792"/>
            <w:shd w:val="clear" w:color="auto" w:fill="13294B"/>
            <w:tcMar>
              <w:top w:w="70" w:type="dxa"/>
              <w:bottom w:w="70" w:type="dxa"/>
              <w:start w:w="160" w:type="dxa"/>
              <w:end w:w="16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CLIENT ENGAGEMENT</w:t>
            </w:r>
          </w:p>
        </w:tc>
      </w:tr>
    </w:tbl>
    <w:p>
      <w:pPr>
        <w:spacing w:after="40"/>
      </w:pPr>
    </w:p>
    <w:p>
      <w:pPr>
        <w:spacing w:before="40" w:after="80"/>
      </w:pPr>
      <w:r>
        <w:rPr>
          <w:rFonts w:ascii="Calibri" w:hAnsi="Calibri"/>
          <w:b/>
          <w:color w:val="13294B"/>
          <w:sz w:val="42"/>
        </w:rPr>
        <w:t>Identity Synchronization and Service-Principal Risk Analytics on Databricks</w:t>
      </w:r>
    </w:p>
    <w:p>
      <w:pPr>
        <w:spacing w:after="200"/>
      </w:pPr>
      <w:r>
        <w:rPr>
          <w:i/>
          <w:color w:val="2E86AB"/>
          <w:sz w:val="24"/>
        </w:rPr>
        <w:t>Diversified Industrial &amp; Technology Manufacturing  ·  Databricks Unity Catalog  ·  Cloud Identity Governance</w:t>
      </w:r>
    </w:p>
    <w:p>
      <w:pPr>
        <w:spacing w:after="280"/>
      </w:pPr>
      <w:r>
        <w:rPr>
          <w:b/>
          <w:color w:val="5B6B82"/>
          <w:sz w:val="18"/>
        </w:rPr>
        <w:t xml:space="preserve">Focus areas:  </w:t>
      </w:r>
      <w:r>
        <w:rPr>
          <w:color w:val="5B6B82"/>
          <w:sz w:val="18"/>
        </w:rPr>
        <w:t>Data Governance · Data Architecture · Databricks · Cloud · AWS · Analytics · Data Modeling</w:t>
      </w:r>
    </w:p>
    <w:p>
      <w:pPr>
        <w:spacing w:after="200"/>
        <w:pBdr>
          <w:bottom w:val="single" w:sz="6" w:space="1" w:color="C9A227"/>
        </w:pBdr>
      </w:pP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1.  EXECUTIVE SUMMARY</w:t>
      </w:r>
    </w:p>
    <w:p>
      <w:pPr>
        <w:spacing w:after="140"/>
      </w:pPr>
      <w:r>
        <w:t>I built two connected identity-governance capabilities on Databricks for a global technology manufacturer: a production IAM synchronization job that keeps Unity Catalog's user/role/persona model current from the enterprise identity source, and a daily service-principal (SPN) fleet risk-analytics pipeline and dashboard giving the security team a single, scored view of every non-human identity's privilege and activity posture across the workspace.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2.  CLIENT CONTEXT (ANONYMIZED)</w:t>
      </w:r>
    </w:p>
    <w:p>
      <w:pPr>
        <w:spacing w:after="140"/>
      </w:pPr>
      <w:r>
        <w:t>The client is a global, diversified industrial and technology manufacturer operating across multiple business segments (including industrial and transportation) and environments (dev/qa/prod), with a large Databricks estate governed under Unity Catalog and a growing population of service principals provisioned automatically via enterprise identity federation.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3.  BUSINESS CHALLENGE</w:t>
      </w:r>
    </w:p>
    <w:p>
      <w:pPr>
        <w:spacing w:after="140"/>
      </w:pPr>
      <w:r>
        <w:t>Two related but distinct governance gaps existed. First, the enterprise IAM system of record wasn't reliably reflected inside Unity Catalog, so role- and persona-based access decisions inside Databricks risked drifting from the approved enterprise state. Second, the platform had no consolidated inventory of its service principals — which held admin privileges, which were dormant, which had been granted access directly instead of through governed groups — leaving the security team unable to answer a basic question: which non-human identities represent the biggest exposure right now?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4.  TECHNICAL CHALLENGES</w:t>
      </w:r>
    </w:p>
    <w:p>
      <w:pPr>
        <w:pStyle w:val="ListBullet"/>
        <w:spacing w:after="100"/>
        <w:ind w:left="317"/>
      </w:pPr>
      <w:r>
        <w:t>Synchronizing role, persona, and service-account state from an external PostgreSQL system of record into four interdependent Unity Catalog Delta tables without full-table rewrites on every run.</w:t>
      </w:r>
    </w:p>
    <w:p>
      <w:pPr>
        <w:pStyle w:val="ListBullet"/>
        <w:spacing w:after="100"/>
        <w:ind w:left="317"/>
      </w:pPr>
      <w:r>
        <w:t>Correctly masking and re-linking service-account identities — which follow a distinct naming convention — so they don't pollute the human-user persona registry, while keeping their access fully auditable.</w:t>
      </w:r>
    </w:p>
    <w:p>
      <w:pPr>
        <w:pStyle w:val="ListBullet"/>
        <w:spacing w:after="100"/>
        <w:ind w:left="317"/>
      </w:pPr>
      <w:r>
        <w:t>Enforcing business-unit-scoped access rules that apply only conditionally (only when a restriction flag is set and the segment isn't global) inside a single shared transformation.</w:t>
      </w:r>
    </w:p>
    <w:p>
      <w:pPr>
        <w:pStyle w:val="ListBullet"/>
        <w:spacing w:after="100"/>
        <w:ind w:left="317"/>
      </w:pPr>
      <w:r>
        <w:t>No native "SPN created" audit event exists in the platform — service principals arrive via enterprise identity federation, not a Databricks-native provisioning flow — so activity and ownership had to be reconstructed from indirect signals.</w:t>
      </w:r>
    </w:p>
    <w:p>
      <w:pPr>
        <w:pStyle w:val="ListBullet"/>
        <w:spacing w:after="100"/>
        <w:ind w:left="317"/>
      </w:pPr>
      <w:r>
        <w:t>The platform's job-run audit trail records identity by an opaque federated-identity GUID rather than the SPN's display name, so activity couldn't be attributed without a separate mapping step.</w:t>
      </w:r>
    </w:p>
    <w:p>
      <w:pPr>
        <w:pStyle w:val="ListBullet"/>
        <w:spacing w:after="100"/>
        <w:ind w:left="317"/>
      </w:pPr>
      <w:r>
        <w:t>Defining a risk model precise enough to be actionable — not just "everything is medium risk" — from privilege, group-membership, and activity signals that each say something different about exposure.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5.  SOLUTION / ARCHITECTURE</w:t>
      </w:r>
    </w:p>
    <w:p>
      <w:pPr>
        <w:spacing w:after="140"/>
      </w:pPr>
      <w:r>
        <w:t>The IAM sync job reads applied roles, user profiles, and business-segment data from PostgreSQL, applies transformation and service-account masking logic, and merge-upserts the result into four Unity Catalog Delta tables, scoped per environment (dev/qa/prod catalogs). Independently, a four-notebook SPN Fleet Management pipeline builds a daily, snapshot-partitioned inventory: SPN roster and risk tier, a full Unity Catalog privilege map (direct and inherited grants), and a 30/90-day activity summary joined via a dedicated GUID-to-display-name mapping table. A weighted risk-tier waterfall and a separate five-signal anomaly-scoring model feed a Databricks Lakeview dashboard used directly by the security and platform teams.</w:t>
      </w:r>
    </w:p>
    <w:p>
      <w:pPr>
        <w:spacing w:before="160"/>
        <w:jc w:val="center"/>
      </w:pPr>
      <w:r>
        <w:drawing>
          <wp:inline xmlns:a="http://schemas.openxmlformats.org/drawingml/2006/main" xmlns:pic="http://schemas.openxmlformats.org/drawingml/2006/picture">
            <wp:extent cx="6035040" cy="362102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dentity-governanc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6210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5B6B82"/>
          <w:sz w:val="17"/>
        </w:rPr>
        <w:t>IAM synchronization into Unity Catalog, paired with a daily Service Principal risk-analytics pipeline and dashboard.</w:t>
        <w:br/>
        <w:t>Figure — Solution architecture (reconstructed from delivered implementation)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6.  MY ROLE &amp; CONTRIBUTIONS</w:t>
      </w:r>
    </w:p>
    <w:p>
      <w:pPr>
        <w:pStyle w:val="ListBullet"/>
        <w:spacing w:after="100"/>
        <w:ind w:left="317"/>
      </w:pPr>
      <w:r>
        <w:t>Designed and built the parameterized Databricks IAM synchronization job that reads applied roles, user profiles, and business-segment data from PostgreSQL and merge-upserts it into four Unity Catalog Delta tables, environment-scoped across dev/qa/prod catalogs.</w:t>
      </w:r>
    </w:p>
    <w:p>
      <w:pPr>
        <w:pStyle w:val="ListBullet"/>
        <w:spacing w:after="100"/>
        <w:ind w:left="317"/>
      </w:pPr>
      <w:r>
        <w:t>Implemented the service-account masking logic (renaming and email-blanking pattern-matched SVC accounts, recoverable via a join back to a dedicated SVC registry table) so human and non-human identities stay correctly separated in the persona model.</w:t>
      </w:r>
    </w:p>
    <w:p>
      <w:pPr>
        <w:pStyle w:val="ListBullet"/>
        <w:spacing w:after="100"/>
        <w:ind w:left="317"/>
      </w:pPr>
      <w:r>
        <w:t>Built the conditional business-unit access-restriction logic and the active-role/approver-role filtering rules determining which role assignments are considered "in force."</w:t>
      </w:r>
    </w:p>
    <w:p>
      <w:pPr>
        <w:pStyle w:val="ListBullet"/>
        <w:spacing w:after="100"/>
        <w:ind w:left="317"/>
      </w:pPr>
      <w:r>
        <w:t>Designed the four-notebook SPN Fleet Management pipeline (inventory → privilege map → activity summary → planned sensitivity enrichment) from the ground up, including the GUID-to-display-name mapping table that solves the federated-identity attribution gap.</w:t>
      </w:r>
    </w:p>
    <w:p>
      <w:pPr>
        <w:pStyle w:val="ListBullet"/>
        <w:spacing w:after="100"/>
        <w:ind w:left="317"/>
      </w:pPr>
      <w:r>
        <w:t>Authored the full risk-tier waterfall (HIGH/MEDIUM/LOW) and the five-signal, three-tier weighted anomaly-scoring model (0–100 composite) flagging orphaned-and-privileged, dormant-admin, direct-grant, multi-environment, and privilege/usage-gap identities.</w:t>
      </w:r>
    </w:p>
    <w:p>
      <w:pPr>
        <w:pStyle w:val="ListBullet"/>
        <w:spacing w:after="100"/>
        <w:ind w:left="317"/>
      </w:pPr>
      <w:r>
        <w:t>Designed the owner-team attribution logic (group-prefix mapping with a thirteen-level priority score for SPNs in multiple groups) and the naming-convention-based application-purpose classifier.</w:t>
      </w:r>
    </w:p>
    <w:p>
      <w:pPr>
        <w:pStyle w:val="ListBullet"/>
        <w:spacing w:after="100"/>
        <w:ind w:left="317"/>
      </w:pPr>
      <w:r>
        <w:t>Built the Databricks Lakeview dashboard (SPN Fleet, Risk &amp; Anomalies, and FAQ/Methodology pages) consumed directly by the security and platform teams, plus the parameterized SPN Deep Dive dataset.</w:t>
      </w:r>
    </w:p>
    <w:p>
      <w:pPr>
        <w:pStyle w:val="ListBullet"/>
        <w:spacing w:after="100"/>
        <w:ind w:left="317"/>
      </w:pPr>
      <w:r>
        <w:t>Wrote the full methodology reference documentation — classification rules, scoring logic, remediation workflow — used to onboard the security team onto the dashboard.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7.  TECHNOLOGY STACK</w:t>
      </w:r>
    </w:p>
    <w:p>
      <w:pPr>
        <w:spacing w:after="120"/>
      </w:pPr>
      <w:r>
        <w:rPr>
          <w:b/>
          <w:color w:val="13294B"/>
          <w:sz w:val="19"/>
        </w:rPr>
        <w:t>Databricks (SQL notebooks, Lakeview dashboards)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Unity Catalog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Delta Lake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PySpark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PostgreSQL (JDBC)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AWS Secrets Manager (boto3)</w:t>
      </w:r>
      <w:r>
        <w:rPr>
          <w:color w:val="8C96A6"/>
          <w:sz w:val="18"/>
        </w:rPr>
        <w:t xml:space="preserve">   ●   </w:t>
      </w:r>
      <w:r>
        <w:rPr>
          <w:b/>
          <w:color w:val="13294B"/>
          <w:sz w:val="19"/>
        </w:rPr>
        <w:t>Unity Catalog system tables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8.  IMPLEMENTATION APPROACH</w:t>
      </w:r>
    </w:p>
    <w:p>
      <w:pPr>
        <w:spacing w:after="140"/>
      </w:pPr>
      <w:r>
        <w:t>Build order followed the data dependency chain: IAM sync first, then SPN inventory, then the privilege map, then the activity summary (joined against the GUID map), then risk-tier and anomaly scoring, then the dashboard. All SPN pipeline outputs are snapshot-partitioned by date and designed to run as an unattended scheduled daily workflow, with the dashboard always reading the latest snapshot.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9.  KEY CHALLENGES &amp; HOW THEY WERE ADDRESSED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No native SPN creation event</w:t>
      </w:r>
      <w:r>
        <w:t xml:space="preserve"> — addressed by using the first `addPrincipalToGroup` event as a documented, transparent proxy for onboarding date.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Federated-identity GUID vs. display name</w:t>
      </w:r>
      <w:r>
        <w:t xml:space="preserve"> — addressed with a dedicated `guid_map` table built from audit identity metadata, joined into every downstream activity table.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Actionable, not flat, risk scoring</w:t>
      </w:r>
      <w:r>
        <w:t xml:space="preserve"> — addressed with two complementary models: a waterfall risk tier answering governance policy ("what category is this SPN"), and a separate additive anomaly score answering operational priority ("where should the security team look first today").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Conditional BU-access rules</w:t>
      </w:r>
      <w:r>
        <w:t xml:space="preserve"> — addressed by encoding them as explicit filter conditions tied to the `restrict_bu_access` and `business_segment` fields, rather than hardcoded per-business-unit logic.</w:t>
      </w:r>
    </w:p>
    <w:p>
      <w:pPr>
        <w:pStyle w:val="ListBullet"/>
        <w:spacing w:after="100"/>
        <w:ind w:left="317"/>
      </w:pPr>
      <w:r>
        <w:rPr>
          <w:b/>
          <w:color w:val="13294B"/>
        </w:rPr>
        <w:t>Merge cost at scale</w:t>
      </w:r>
      <w:r>
        <w:t xml:space="preserve"> — addressed with a first-run overwrite, subsequent-run conditional `DeltaTable.merge()` pattern across all four sync tables, avoiding unnecessary rewrites.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10.  BUSINESS &amp; TECHNICAL OUTCOMES</w:t>
      </w:r>
    </w:p>
    <w:p>
      <w:pPr>
        <w:pStyle w:val="ListBullet"/>
        <w:spacing w:after="100"/>
        <w:ind w:left="317"/>
      </w:pPr>
      <w:r>
        <w:t>A single, governed source of truth for user/role/persona state inside Unity Catalog, replacing manual or indirect reconciliation against the enterprise IAM system.</w:t>
      </w:r>
    </w:p>
    <w:p>
      <w:pPr>
        <w:pStyle w:val="ListBullet"/>
        <w:spacing w:after="100"/>
        <w:ind w:left="317"/>
      </w:pPr>
      <w:r>
        <w:t>The first consolidated, scored inventory of the platform's service-principal population, covering privilege, ownership, and activity in one place.</w:t>
      </w:r>
    </w:p>
    <w:p>
      <w:pPr>
        <w:pStyle w:val="ListBullet"/>
        <w:spacing w:after="100"/>
        <w:ind w:left="317"/>
      </w:pPr>
      <w:r>
        <w:t>A documented, explainable remediation workflow (CRITICAL → HIGH → MEDIUM) giving the security team a prioritized queue instead of an undifferentiated identity list.</w:t>
      </w:r>
    </w:p>
    <w:p>
      <w:pPr>
        <w:pStyle w:val="ListBullet"/>
        <w:spacing w:after="100"/>
        <w:ind w:left="317"/>
      </w:pPr>
      <w:r>
        <w:t>Snapshot-partitioned, daily-refreshed outputs designed to run as an unattended scheduled workflow.</w:t>
      </w:r>
    </w:p>
    <w:p>
      <w:pPr>
        <w:pStyle w:val="ListBullet"/>
        <w:spacing w:after="100"/>
        <w:ind w:left="317"/>
      </w:pPr>
      <w:r>
        <w:t>A written FAQ/methodology reference turning every scoring and classification rule into an auditable, onboarding-ready document rather than tribal knowledge.</w:t>
      </w:r>
    </w:p>
    <w:p>
      <w:pPr>
        <w:spacing w:before="280" w:after="120"/>
        <w:pBdr>
          <w:bottom w:val="single" w:sz="4" w:space="3" w:color="D9DEE7"/>
        </w:pBdr>
      </w:pPr>
      <w:r>
        <w:rPr>
          <w:rFonts w:ascii="Calibri" w:hAnsi="Calibri"/>
          <w:b/>
          <w:color w:val="13294B"/>
          <w:sz w:val="25"/>
        </w:rPr>
        <w:t>11.  KEY TAKEAWAYS</w:t>
      </w:r>
    </w:p>
    <w:p>
      <w:pPr>
        <w:pStyle w:val="ListBullet"/>
        <w:spacing w:after="100"/>
        <w:ind w:left="317"/>
      </w:pPr>
      <w:r>
        <w:t>Federated, non-human identities need their own attribution infrastructure — audit logs designed around human logins don't map cleanly onto them.</w:t>
      </w:r>
    </w:p>
    <w:p>
      <w:pPr>
        <w:pStyle w:val="ListBullet"/>
        <w:spacing w:after="100"/>
        <w:ind w:left="317"/>
      </w:pPr>
      <w:r>
        <w:t>Separate "governance category" (risk tier) from "operational priority" (anomaly score) — conflating the two produces a model that's either too coarse to act on or too noisy to trust.</w:t>
      </w:r>
    </w:p>
    <w:p>
      <w:pPr>
        <w:pStyle w:val="ListBullet"/>
        <w:spacing w:after="100"/>
        <w:ind w:left="317"/>
      </w:pPr>
      <w:r>
        <w:t>A documented methodology reference is what turns a scoring model into something a security team will actually adopt and defend in an audit.</w:t>
      </w:r>
    </w:p>
    <w:sectPr w:rsidR="00FC693F" w:rsidRPr="0006063C" w:rsidSect="00034616">
      <w:footerReference w:type="default" r:id="rId9"/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C96A6"/>
        <w:sz w:val="16"/>
      </w:rPr>
      <w:t xml:space="preserve">Tarun Kumar  ·  Data &amp; AI Engineering Architect  ·  </w:t>
    </w:r>
    <w:r>
      <w:rPr>
        <w:color w:val="8C96A6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2A33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Identity Synchronization and Service-Principal Risk Analytics on Databricks</dc:title>
  <dc:subject>Diversified Industrial &amp; Technology Manufacturing  ·  Databricks Unity Catalog  ·  Cloud Identity Governance</dc:subject>
  <dc:creator>Tarun Kumar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