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ook w:firstColumn="1" w:firstRow="1" w:lastColumn="0" w:lastRow="0" w:noHBand="0" w:noVBand="1" w:val="04A0"/>
        <w:tblBorders>
          <w:top w:val="none" w:sz="0" w:space="0"/>
          <w:left w:val="none" w:sz="0" w:space="0"/>
          <w:bottom w:val="none" w:sz="0" w:space="0"/>
          <w:right w:val="none" w:sz="0" w:space="0"/>
          <w:insideH w:val="none" w:sz="0" w:space="0"/>
          <w:insideV w:val="none" w:sz="0" w:space="0"/>
        </w:tblBorders>
      </w:tblPr>
      <w:tblGrid>
        <w:gridCol w:w="9792"/>
      </w:tblGrid>
      <w:tr>
        <w:tc>
          <w:tcPr>
            <w:tcW w:type="dxa" w:w="9792"/>
            <w:shd w:val="clear" w:color="auto" w:fill="6B4A12"/>
            <w:tcMar>
              <w:top w:w="70" w:type="dxa"/>
              <w:bottom w:w="70" w:type="dxa"/>
              <w:start w:w="160" w:type="dxa"/>
              <w:end w:w="16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ILLUSTRATIVE REFERENCE SCENARIO</w:t>
            </w:r>
          </w:p>
        </w:tc>
      </w:tr>
    </w:tbl>
    <w:p>
      <w:pPr>
        <w:spacing w:before="80"/>
      </w:pPr>
      <w:r>
        <w:rPr>
          <w:i/>
          <w:color w:val="5B6B82"/>
          <w:sz w:val="17"/>
        </w:rPr>
        <w:t>This case study is based on a publicly documented industry implementation pattern. It is not a client engagement of the author and does not represent proprietary client data. It is presented here to illustrate the author's architectural approach to a comparable problem.</w:t>
      </w:r>
    </w:p>
    <w:p>
      <w:pPr>
        <w:spacing w:after="40"/>
      </w:pPr>
    </w:p>
    <w:p>
      <w:pPr>
        <w:spacing w:before="40" w:after="80"/>
      </w:pPr>
      <w:r>
        <w:rPr>
          <w:rFonts w:ascii="Calibri" w:hAnsi="Calibri"/>
          <w:b/>
          <w:color w:val="13294B"/>
          <w:sz w:val="42"/>
        </w:rPr>
        <w:t>Grid-Scale Distributed Energy Load Forecasting at Daily Cadence</w:t>
      </w:r>
    </w:p>
    <w:p>
      <w:pPr>
        <w:spacing w:after="200"/>
      </w:pPr>
      <w:r>
        <w:rPr>
          <w:i/>
          <w:color w:val="2E86AB"/>
          <w:sz w:val="24"/>
        </w:rPr>
        <w:t>Utilities &amp; Energy  ·  Azure Databricks  ·  Ensemble Time-Series Forecasting at Scale</w:t>
      </w:r>
    </w:p>
    <w:p>
      <w:pPr>
        <w:spacing w:after="280"/>
      </w:pPr>
      <w:r>
        <w:rPr>
          <w:b/>
          <w:color w:val="5B6B82"/>
          <w:sz w:val="18"/>
        </w:rPr>
        <w:t xml:space="preserve">Focus areas:  </w:t>
      </w:r>
      <w:r>
        <w:rPr>
          <w:color w:val="5B6B82"/>
          <w:sz w:val="18"/>
        </w:rPr>
        <w:t>Data Engineering · Cloud · Databricks · Streaming · AI/ML · Performance Optimization · Scalability</w:t>
      </w:r>
    </w:p>
    <w:p>
      <w:pPr>
        <w:spacing w:after="200"/>
        <w:pBdr>
          <w:bottom w:val="single" w:sz="6" w:space="1" w:color="C9A227"/>
        </w:pBdr>
      </w:pP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1.  EXECUTIVE SUMMARY</w:t>
      </w:r>
    </w:p>
    <w:p>
      <w:pPr>
        <w:spacing w:after="140"/>
      </w:pPr>
      <w:r>
        <w:t xml:space="preserve">Electricity distribution system operators (DSOs) plan grid capacity around large static safety margins for low-probability peak events — a conservative approach that caps how much new generation can be connected using existing infrastructure. Reliable, near-term load forecasts at the individual installation level let planners run power-flow analysis and unlock hosting-capacity headroom without new physical build-out. This case study is an </w:t>
      </w:r>
      <w:r>
        <w:rPr>
          <w:b/>
          <w:color w:val="13294B"/>
        </w:rPr>
        <w:t>illustrative reference scenario</w:t>
      </w:r>
      <w:r>
        <w:t>, modeled on a publicly documented large-scale Azure Databricks forecasting implementation for a European electricity distribution network, that I use to demonstrate how I would architect a forecasting platform at this scale.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2.  INDUSTRY CONTEXT (ILLUSTRATIVE SCENARIO)</w:t>
      </w:r>
    </w:p>
    <w:p>
      <w:pPr>
        <w:spacing w:after="140"/>
      </w:pPr>
      <w:r>
        <w:t>The scenario I reference is a large regional DSO responsible for the medium- and high-voltage grid across a national or multi-region service territory, with well over 100,000 connected installations and a mandate to supply electricity reliably while supporting the broader energy transition.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3.  BUSINESS CHALLENGE</w:t>
      </w:r>
    </w:p>
    <w:p>
      <w:pPr>
        <w:spacing w:after="140"/>
      </w:pPr>
      <w:r>
        <w:t xml:space="preserve">Grid planning decisions — how much new generation or load a given feeder can safely accommodate — have historically relied on conservative static assumptions rather than actual forecast demand, because forecasting demand reliably at the individual-installation level, for a network of this size, at a daily operational cadence, was not previously practical. The prize for solving it is real: the source pattern reports that generation and load forecasting, coupled with power-flow analysis, can increase grid hosting capacity by </w:t>
      </w:r>
      <w:r>
        <w:rPr>
          <w:b/>
          <w:color w:val="13294B"/>
        </w:rPr>
        <w:t>20% or more in some cases</w:t>
      </w:r>
      <w:r>
        <w:t xml:space="preserve"> — capacity gained without new physical infrastructure.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4.  TECHNICAL CHALLENGES</w:t>
      </w:r>
    </w:p>
    <w:p>
      <w:pPr>
        <w:pStyle w:val="ListBullet"/>
        <w:spacing w:after="100"/>
        <w:ind w:left="317"/>
      </w:pPr>
      <w:r>
        <w:t xml:space="preserve">Forecasting roughly </w:t>
      </w:r>
      <w:r>
        <w:rPr>
          <w:b/>
          <w:color w:val="13294B"/>
        </w:rPr>
        <w:t>200,000 individual time series</w:t>
      </w:r>
      <w:r>
        <w:t xml:space="preserve"> daily at 15-minute granularity — not a handful of aggregate regional curves, but per-installation forecasts.</w:t>
      </w:r>
    </w:p>
    <w:p>
      <w:pPr>
        <w:pStyle w:val="ListBullet"/>
        <w:spacing w:after="100"/>
        <w:ind w:left="317"/>
      </w:pPr>
      <w:r>
        <w:t>The per-series retraining cost at that scale: a naive "retrain every model on every series, every night" approach does not fit an operational batch window.</w:t>
      </w:r>
    </w:p>
    <w:p>
      <w:pPr>
        <w:pStyle w:val="ListBullet"/>
        <w:spacing w:after="100"/>
        <w:ind w:left="317"/>
      </w:pPr>
      <w:r>
        <w:t>Integrating exogenous weather forecasts at the right spatial granularity — matching meteorological forecast grid points to the correct physical installation.</w:t>
      </w:r>
    </w:p>
    <w:p>
      <w:pPr>
        <w:pStyle w:val="ListBullet"/>
        <w:spacing w:after="100"/>
        <w:ind w:left="317"/>
      </w:pPr>
      <w:r>
        <w:t>Handling communication and meter dropouts without corrupting a time series' statistical properties.</w:t>
      </w:r>
    </w:p>
    <w:p>
      <w:pPr>
        <w:pStyle w:val="ListBullet"/>
        <w:spacing w:after="100"/>
        <w:ind w:left="317"/>
      </w:pPr>
      <w:r>
        <w:t>Controlling model degradation as underlying consumption patterns drift year over year, while keeping the retraining cadence operationally and financially sustainable.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5.  SOLUTION / ARCHITECTURE</w:t>
      </w:r>
    </w:p>
    <w:p>
      <w:pPr>
        <w:spacing w:after="140"/>
      </w:pPr>
      <w:r>
        <w:t>The referenced pattern (see figure) runs on Azure Databricks with Delta Lake as the storage layer. Bronze-layer ingestion lands smart-meter load diagrams (roughly 60 million new records per day across 96 measurements per asset), grid asset registry data, and a three-day-ahead weather forecast feed. Silver-layer transformations perform a nearest-neighbor spatial join between weather grid points and installations, aggregate six raw meter channels down to active and reactive energy, and reindex time series to fill communication gaps — producing an inference-ready dataset of roughly 200,000 series at 15-minute granularity.</w:t>
      </w:r>
    </w:p>
    <w:p>
      <w:pPr>
        <w:spacing w:after="140"/>
      </w:pPr>
      <w:r>
        <w:t xml:space="preserve">Forecasting itself is an ensemble of three models — </w:t>
      </w:r>
      <w:r>
        <w:rPr>
          <w:b/>
          <w:color w:val="13294B"/>
        </w:rPr>
        <w:t>Elastic Net Regression</w:t>
      </w:r>
      <w:r>
        <w:t xml:space="preserve">, </w:t>
      </w:r>
      <w:r>
        <w:rPr>
          <w:b/>
          <w:color w:val="13294B"/>
        </w:rPr>
        <w:t>LightGBM</w:t>
      </w:r>
      <w:r>
        <w:t xml:space="preserve">, and </w:t>
      </w:r>
      <w:r>
        <w:rPr>
          <w:b/>
          <w:color w:val="13294B"/>
        </w:rPr>
        <w:t>Prophet</w:t>
      </w:r>
      <w:r>
        <w:t xml:space="preserve"> — plus a naive previous-day baseline. Rather than picking one model globally, the pipeline selects a </w:t>
      </w:r>
      <w:r>
        <w:rPr>
          <w:b/>
          <w:color w:val="13294B"/>
        </w:rPr>
        <w:t>daily champion per series</w:t>
      </w:r>
      <w:r>
        <w:t>: whichever model performed best (lowest MAE) on that specific series the previous day is used to infer the next three days. Hyperparameters are tuned via Bayesian optimization (Optuna) using a sliding-window cross-validation scheme across seven 60-day folds, with an asymmetric trial budget — 20 trials each for Prophet and LightGBM, 28 for the faster-to-fit Elastic Net.</w:t>
      </w:r>
    </w:p>
    <w:p>
      <w:pPr>
        <w:spacing w:before="160"/>
        <w:jc w:val="center"/>
      </w:pPr>
      <w:r>
        <w:drawing>
          <wp:inline xmlns:a="http://schemas.openxmlformats.org/drawingml/2006/main" xmlns:pic="http://schemas.openxmlformats.org/drawingml/2006/picture">
            <wp:extent cx="6035040" cy="39658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ergy-load-forecasting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9658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i/>
          <w:color w:val="5B6B82"/>
          <w:sz w:val="17"/>
        </w:rPr>
        <w:t>Reference architecture for daily, per-installation short-term load forecasting across a large medium/high-voltage grid.</w:t>
        <w:br/>
        <w:t>Figure — Reference architecture (illustrative reconstruction)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6.  ARCHITECT'S PERSPECTIVE &amp; APPROACH</w:t>
      </w:r>
    </w:p>
    <w:p>
      <w:pPr>
        <w:spacing w:after="140"/>
      </w:pPr>
      <w:r>
        <w:t xml:space="preserve">The interesting engineering problem here isn't any single model choice — it's the operational discipline of daily per-series champion selection at 200,000-series scale, and the distributed-training mechanics that make it affordable. Fitting that many independent, small models is a pandas-UDF problem, and the pattern's use of manual repartitioning by series key with </w:t>
      </w:r>
      <w:r>
        <w:rPr>
          <w:b/>
          <w:color w:val="13294B"/>
        </w:rPr>
        <w:t>Adaptive Query Execution explicitly disabled</w:t>
      </w:r>
      <w:r>
        <w:t xml:space="preserve"> is a trick I've relied on for similar high-cardinality Spark UDF workloads elsewhere in this portfolio — AQE's automatic partition coalescing actively fights you when each task's unit of work is intentionally small and independent, since it tries to merge partitions that were deliberately kept separate for parallelism.</w:t>
      </w:r>
    </w:p>
    <w:p>
      <w:pPr>
        <w:spacing w:after="140"/>
      </w:pPr>
      <w:r>
        <w:t>I'd also call out the annual (not monthly) retraining cadence as a pragmatic choice rather than a shortcut: at this series count, a more frequent retrain has a real, quantifiable compute cost, and the daily metrics workflow already gives the team an early-warning signal (rising NMAE/NMSE) if drift starts to outpace the annual cycle — so the retraining interval is set by measured need, not by default.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7.  TECHNOLOGY STACK</w:t>
      </w:r>
    </w:p>
    <w:p>
      <w:pPr>
        <w:spacing w:after="120"/>
      </w:pPr>
      <w:r>
        <w:rPr>
          <w:b/>
          <w:color w:val="13294B"/>
          <w:sz w:val="19"/>
        </w:rPr>
        <w:t>Azure Databricks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Delta Lake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PySpark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pandas UDFs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Elastic Net Regression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LightGBM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Prophet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Optuna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Azure Data Factory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Lakeflow Jobs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Azure DevOps CI/CD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Oracle Database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8.  IMPLEMENTATION APPROACH</w:t>
      </w:r>
    </w:p>
    <w:p>
      <w:pPr>
        <w:spacing w:after="140"/>
      </w:pPr>
      <w:r>
        <w:t>ETL runs as a sequence of Databricks notebooks: Bronze ingestion of each source, a weather nearest-neighbor join, master-data and channel aggregation, and time-series reindexing to produce the Silver inference dataset. Training and inference are separated by environment (train in a development environment, infer daily in production), orchestrated through scheduled Lakeflow jobs and triggered at a higher level by Azure Data Factory, with the full pipeline managed under Azure DevOps CI/CD.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9.  KEY CHALLENGES &amp; HOW THEY WERE ADDRESSED</w:t>
      </w:r>
    </w:p>
    <w:p>
      <w:pPr>
        <w:pStyle w:val="ListBullet"/>
        <w:spacing w:after="100"/>
        <w:ind w:left="317"/>
      </w:pPr>
      <w:r>
        <w:rPr>
          <w:b/>
          <w:color w:val="13294B"/>
        </w:rPr>
        <w:t>Scale of per-series training</w:t>
      </w:r>
      <w:r>
        <w:t xml:space="preserve"> — addressed with distributed pandas UDFs, manual repartitioning by series key, and AQE disabled to keep partitioning stable under Spark's `applyInPandas`.</w:t>
      </w:r>
    </w:p>
    <w:p>
      <w:pPr>
        <w:pStyle w:val="ListBullet"/>
        <w:spacing w:after="100"/>
        <w:ind w:left="317"/>
      </w:pPr>
      <w:r>
        <w:rPr>
          <w:b/>
          <w:color w:val="13294B"/>
        </w:rPr>
        <w:t>Hyperparameter tuning cost</w:t>
      </w:r>
      <w:r>
        <w:t xml:space="preserve"> — addressed with Bayesian search (Optuna) instead of grid search, with per-model trial budgets sized to each model's fit cost.</w:t>
      </w:r>
    </w:p>
    <w:p>
      <w:pPr>
        <w:pStyle w:val="ListBullet"/>
        <w:spacing w:after="100"/>
        <w:ind w:left="317"/>
      </w:pPr>
      <w:r>
        <w:rPr>
          <w:b/>
          <w:color w:val="13294B"/>
        </w:rPr>
        <w:t>Weather-to-installation alignment</w:t>
      </w:r>
      <w:r>
        <w:t xml:space="preserve"> — addressed with a nearest-neighbor spatial join between forecast grid points and physical installations.</w:t>
      </w:r>
    </w:p>
    <w:p>
      <w:pPr>
        <w:pStyle w:val="ListBullet"/>
        <w:spacing w:after="100"/>
        <w:ind w:left="317"/>
      </w:pPr>
      <w:r>
        <w:rPr>
          <w:b/>
          <w:color w:val="13294B"/>
        </w:rPr>
        <w:t>Model drift over time</w:t>
      </w:r>
      <w:r>
        <w:t xml:space="preserve"> — addressed with an annual retraining cadence backed by a daily metrics workflow tracking MAE/MSE per series and model, giving early warning if drift outpaces the retrain schedule.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10.  BUSINESS &amp; TECHNICAL OUTCOMES</w:t>
      </w:r>
    </w:p>
    <w:p>
      <w:pPr>
        <w:pStyle w:val="ListBullet"/>
        <w:spacing w:after="100"/>
        <w:ind w:left="317"/>
      </w:pPr>
      <w:r>
        <w:rPr>
          <w:b/>
          <w:color w:val="13294B"/>
        </w:rPr>
        <w:t>Industry-reported:</w:t>
      </w:r>
      <w:r>
        <w:t xml:space="preserve"> approximately 200,000 load diagrams forecast daily at 15-minute granularity across the medium- and high-voltage grid.</w:t>
      </w:r>
    </w:p>
    <w:p>
      <w:pPr>
        <w:pStyle w:val="ListBullet"/>
        <w:spacing w:after="100"/>
        <w:ind w:left="317"/>
      </w:pPr>
      <w:r>
        <w:rPr>
          <w:b/>
          <w:color w:val="13294B"/>
        </w:rPr>
        <w:t>Industry-reported:</w:t>
      </w:r>
      <w:r>
        <w:t xml:space="preserve"> training corpus of roughly 14.5 billion records spanning two years of history.</w:t>
      </w:r>
    </w:p>
    <w:p>
      <w:pPr>
        <w:pStyle w:val="ListBullet"/>
        <w:spacing w:after="100"/>
        <w:ind w:left="317"/>
      </w:pPr>
      <w:r>
        <w:rPr>
          <w:b/>
          <w:color w:val="13294B"/>
        </w:rPr>
        <w:t>Industry-reported:</w:t>
      </w:r>
      <w:r>
        <w:t xml:space="preserve"> daily inference completes in roughly three hours on a 40-node cluster.</w:t>
      </w:r>
    </w:p>
    <w:p>
      <w:pPr>
        <w:pStyle w:val="ListBullet"/>
        <w:spacing w:after="100"/>
        <w:ind w:left="317"/>
      </w:pPr>
      <w:r>
        <w:rPr>
          <w:b/>
          <w:color w:val="13294B"/>
        </w:rPr>
        <w:t>Industry-reported:</w:t>
      </w:r>
      <w:r>
        <w:t xml:space="preserve"> generation/load forecasting combined with power-flow analysis is reported to increase grid hosting capacity by 20% or more in some cases.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11.  KEY TAKEAWAYS</w:t>
      </w:r>
    </w:p>
    <w:p>
      <w:pPr>
        <w:pStyle w:val="ListBullet"/>
        <w:spacing w:after="100"/>
        <w:ind w:left="317"/>
      </w:pPr>
      <w:r>
        <w:t>At high series-cardinality, the distributed-training mechanics (partitioning, AQE behavior) matter as much as model selection.</w:t>
      </w:r>
    </w:p>
    <w:p>
      <w:pPr>
        <w:pStyle w:val="ListBullet"/>
        <w:spacing w:after="100"/>
        <w:ind w:left="317"/>
      </w:pPr>
      <w:r>
        <w:t>A daily per-series champion-selection pattern beats a single globally-tuned model when series behave heterogeneously.</w:t>
      </w:r>
    </w:p>
    <w:p>
      <w:pPr>
        <w:pStyle w:val="ListBullet"/>
        <w:spacing w:after="100"/>
        <w:ind w:left="317"/>
      </w:pPr>
      <w:r>
        <w:t>Retraining cadence should be set by a measured drift signal, not a calendar default.</w:t>
      </w:r>
    </w:p>
    <w:sectPr w:rsidR="00FC693F" w:rsidRPr="0006063C" w:rsidSect="00034616">
      <w:footerReference w:type="default" r:id="rId9"/>
      <w:pgSz w:w="12240" w:h="15840"/>
      <w:pgMar w:top="1008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C96A6"/>
        <w:sz w:val="16"/>
      </w:rPr>
      <w:t xml:space="preserve">Tarun Kumar  ·  Data &amp; AI Engineering Architect  ·  </w:t>
    </w:r>
    <w:r>
      <w:rPr>
        <w:color w:val="8C96A6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Calibri" w:hAnsi="Calibri"/>
      <w:color w:val="2A333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Grid-Scale Distributed Energy Load Forecasting at Daily Cadence</dc:title>
  <dc:subject>Utilities &amp; Energy  ·  Azure Databricks  ·  Ensemble Time-Series Forecasting at Scale</dc:subject>
  <dc:creator>Tarun Kumar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